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BC" w:rsidRPr="00345DBC" w:rsidRDefault="00345DBC" w:rsidP="00345DBC">
      <w:pPr>
        <w:shd w:val="clear" w:color="auto" w:fill="FFFFFF"/>
        <w:spacing w:before="375" w:after="0" w:line="240" w:lineRule="auto"/>
        <w:outlineLvl w:val="0"/>
        <w:rPr>
          <w:rFonts w:ascii="Arial" w:eastAsia="Times New Roman" w:hAnsi="Arial" w:cs="Arial"/>
          <w:b/>
          <w:bCs/>
          <w:noProof/>
          <w:color w:val="444444"/>
          <w:kern w:val="36"/>
          <w:sz w:val="41"/>
          <w:szCs w:val="41"/>
        </w:rPr>
      </w:pPr>
      <w:r w:rsidRPr="00345DBC">
        <w:rPr>
          <w:rFonts w:ascii="Arial" w:eastAsia="Times New Roman" w:hAnsi="Arial" w:cs="Arial"/>
          <w:b/>
          <w:bCs/>
          <w:noProof/>
          <w:color w:val="444444"/>
          <w:kern w:val="36"/>
          <w:sz w:val="41"/>
          <w:szCs w:val="41"/>
        </w:rPr>
        <w:t>New stem cell process increases therapeutic potential</w:t>
      </w:r>
    </w:p>
    <w:p w:rsidR="00345DBC" w:rsidRPr="00345DBC" w:rsidRDefault="00345DBC" w:rsidP="00345DBC">
      <w:pPr>
        <w:shd w:val="clear" w:color="auto" w:fill="FFFFFF"/>
        <w:spacing w:after="0" w:line="240" w:lineRule="auto"/>
        <w:outlineLvl w:val="0"/>
        <w:rPr>
          <w:rFonts w:ascii="Arial" w:hAnsi="Arial" w:cs="Arial"/>
          <w:caps/>
          <w:noProof/>
          <w:color w:val="FC0F20"/>
          <w:sz w:val="20"/>
          <w:szCs w:val="20"/>
          <w:shd w:val="clear" w:color="auto" w:fill="FFFFFF"/>
        </w:rPr>
      </w:pPr>
      <w:r w:rsidRPr="00345DBC">
        <w:rPr>
          <w:rFonts w:ascii="Arial" w:hAnsi="Arial" w:cs="Arial"/>
          <w:caps/>
          <w:noProof/>
          <w:color w:val="FC0F20"/>
          <w:sz w:val="20"/>
          <w:szCs w:val="20"/>
          <w:shd w:val="clear" w:color="auto" w:fill="FFFFFF"/>
        </w:rPr>
        <w:t>NOVEMBER 12, 2015</w:t>
      </w:r>
    </w:p>
    <w:p w:rsidR="00345DBC" w:rsidRPr="00345DBC" w:rsidRDefault="00345DBC" w:rsidP="00345DBC">
      <w:pPr>
        <w:shd w:val="clear" w:color="auto" w:fill="FFFFFF"/>
        <w:spacing w:after="0" w:line="240" w:lineRule="auto"/>
        <w:outlineLvl w:val="0"/>
        <w:rPr>
          <w:rFonts w:ascii="Arial" w:eastAsia="Times New Roman" w:hAnsi="Arial" w:cs="Arial"/>
          <w:b/>
          <w:bCs/>
          <w:noProof/>
          <w:color w:val="444444"/>
          <w:kern w:val="36"/>
          <w:sz w:val="41"/>
          <w:szCs w:val="41"/>
        </w:rPr>
      </w:pPr>
      <w:r w:rsidRPr="00345DBC">
        <w:rPr>
          <w:noProof/>
        </w:rPr>
        <w:drawing>
          <wp:inline distT="0" distB="0" distL="0" distR="0">
            <wp:extent cx="5514975" cy="2965195"/>
            <wp:effectExtent l="19050" t="0" r="9525" b="0"/>
            <wp:docPr id="1" name="Picture 1" descr="https://morgridge.org/wp-content/uploads/2015/11/How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rgridge.org/wp-content/uploads/2015/11/Howden.jpg"/>
                    <pic:cNvPicPr>
                      <a:picLocks noChangeAspect="1" noChangeArrowheads="1"/>
                    </pic:cNvPicPr>
                  </pic:nvPicPr>
                  <pic:blipFill>
                    <a:blip r:embed="rId4"/>
                    <a:srcRect/>
                    <a:stretch>
                      <a:fillRect/>
                    </a:stretch>
                  </pic:blipFill>
                  <pic:spPr bwMode="auto">
                    <a:xfrm>
                      <a:off x="0" y="0"/>
                      <a:ext cx="5517432" cy="2966516"/>
                    </a:xfrm>
                    <a:prstGeom prst="rect">
                      <a:avLst/>
                    </a:prstGeom>
                    <a:noFill/>
                    <a:ln w="9525">
                      <a:noFill/>
                      <a:miter lim="800000"/>
                      <a:headEnd/>
                      <a:tailEnd/>
                    </a:ln>
                  </pic:spPr>
                </pic:pic>
              </a:graphicData>
            </a:graphic>
          </wp:inline>
        </w:drawing>
      </w:r>
    </w:p>
    <w:p w:rsidR="00345DBC" w:rsidRPr="00345DBC" w:rsidRDefault="00345DBC" w:rsidP="00345DBC">
      <w:pPr>
        <w:shd w:val="clear" w:color="auto" w:fill="FFFFFF"/>
        <w:spacing w:after="0" w:line="240" w:lineRule="auto"/>
        <w:outlineLvl w:val="0"/>
        <w:rPr>
          <w:rFonts w:ascii="Arial" w:eastAsia="Times New Roman" w:hAnsi="Arial" w:cs="Arial"/>
          <w:b/>
          <w:bCs/>
          <w:noProof/>
          <w:color w:val="444444"/>
          <w:kern w:val="36"/>
          <w:sz w:val="41"/>
          <w:szCs w:val="41"/>
        </w:rPr>
      </w:pP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Researchers from the Morgridge Institute for Research and the Murdoch Children’s Research Institute (MCRI) in Australia have devised a way to dramatically cut the time involved in reprogramming and genetically correcting stem cells, an important step to making future therapies possible.</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Led by Sara Howden, a postdoctoral fellow at MCRI and formerly with the Morgridge Institute, the study demonstrates how genetically repaired stem cells can be derived from patient skin cells in as little as two weeks, compared to conventional multi-step approaches that take more than three months.</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The key to the advance, published in today’s issue of the journal</w:t>
      </w:r>
      <w:r w:rsidRPr="00345DBC">
        <w:rPr>
          <w:rStyle w:val="apple-converted-space"/>
          <w:rFonts w:ascii="Arial" w:hAnsi="Arial" w:cs="Arial"/>
          <w:noProof/>
          <w:color w:val="444444"/>
          <w:sz w:val="22"/>
          <w:szCs w:val="22"/>
        </w:rPr>
        <w:t> </w:t>
      </w:r>
      <w:r w:rsidRPr="00345DBC">
        <w:rPr>
          <w:rStyle w:val="Emphasis"/>
          <w:rFonts w:ascii="Arial" w:hAnsi="Arial" w:cs="Arial"/>
          <w:noProof/>
          <w:color w:val="000000"/>
          <w:sz w:val="22"/>
          <w:szCs w:val="22"/>
        </w:rPr>
        <w:t>Stem Cell Reports</w:t>
      </w:r>
      <w:r w:rsidRPr="00345DBC">
        <w:rPr>
          <w:rFonts w:ascii="Arial" w:hAnsi="Arial" w:cs="Arial"/>
          <w:noProof/>
          <w:color w:val="444444"/>
          <w:sz w:val="22"/>
          <w:szCs w:val="22"/>
        </w:rPr>
        <w:t>, is to combine two essential steps in preparing cells for potential therapy. First, adult cells must be reprogrammed to an embryonic cell-like state in order to be differentiated into the cells of interest. Second, the cells need to undergo a sophisticated gene editing process to correct the disease-causing mutation.</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lastRenderedPageBreak/>
        <w:t>Howden and colleagues successfully combined these two steps in skin cells derived from an adult patient with retinal degeneration, and an infant patient with severe immunodeficiency.</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“The method developed in our study could potentially advance transplant medicine by making gene-corrected cells available to patients in a much more timely manner, and at a lower cost,” says Howden. “It will have implications immediately for researchers working in regenerative medicine.”</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Howden completed much of the research in the Morgridge Regenerative Biology Laboratory, led by stem cell pioneer James Thomson.</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“If you want to conduct therapies using patient-specific iPS cells, the timeline makes it hard to accomplish,” Thomson says. “If you add correcting a genetic defect, it really looks like a non-starter. You have to make the cell line, characterize it, correct it, then differentiate it to the cells of interest.”</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Adds Thomson: “In this new approach, Dr. Howden succeeded in combining the reprogramming and the gene correction steps together using the new Cas9/CRISPR technology, greatly reducing the time required.”</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Howden says the faster process also means the cell culture period is greatly reduced, potentially minimizing the risks associated with culturing cells outside of the human body, such as genome instability or other epigenetic changes.</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Induced pluripotent cells (iPS cells) hold great promise for medical research because they can essentially be derived from any individual and are capable of becoming any of the 220 types of cells in the human body. And the ability to efficiently and precisely modify the DNA in these cells offers enormous potential for the development of personalized stem cell therapies that benefit people with many different types of genetic disorders.</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Howden says one potential next step is to adapt the protocol to work with blood samples. Not only is a blood draw less invasive than a skin biopsy, it also could further reduce the time to obtain genetically repaired iPS cells. Skin cells need to be expanded for several weeks before initiating reprogramming. </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lastRenderedPageBreak/>
        <w:t>This “fast-tracked process” could be most influential in cases where urgent medical intervention is needed, adds Howden. One example is severe combined immunodeficiency, where children typically die within the first few years of life. However, Howden says scientists still need to derive a long-term source of blood cells from pluripotent stem cells before such treatments are viable.</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The Murdoch Children’s Research Institute conducts extensive research into the use of iPS cells for the study and potential development of treatments for many forms of human disease including renal dysfunction, heart disease and mitochondrial disorders.</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The private, nonprofit Morgridge Institute for Research works to improve human health by conducting and translating innovative, interdisciplinary biomedical research, in partnership with the University of Wisconsin-Madison. Regenerative biology is one of the institute’s core research focus areas.</w:t>
      </w:r>
    </w:p>
    <w:p w:rsidR="00345DBC" w:rsidRPr="00345DBC" w:rsidRDefault="00345DBC" w:rsidP="00345DBC">
      <w:pPr>
        <w:pStyle w:val="NormalWeb"/>
        <w:shd w:val="clear" w:color="auto" w:fill="FFFFFF"/>
        <w:spacing w:before="225" w:beforeAutospacing="0" w:after="225" w:afterAutospacing="0" w:line="420" w:lineRule="atLeast"/>
        <w:rPr>
          <w:rFonts w:ascii="Arial" w:hAnsi="Arial" w:cs="Arial"/>
          <w:noProof/>
          <w:color w:val="444444"/>
          <w:sz w:val="22"/>
          <w:szCs w:val="22"/>
        </w:rPr>
      </w:pPr>
      <w:r w:rsidRPr="00345DBC">
        <w:rPr>
          <w:rFonts w:ascii="Arial" w:hAnsi="Arial" w:cs="Arial"/>
          <w:noProof/>
          <w:color w:val="444444"/>
          <w:sz w:val="22"/>
          <w:szCs w:val="22"/>
        </w:rPr>
        <w:t>— Brian Mattmiller</w:t>
      </w:r>
      <w:permStart w:id="0" w:edGrp="everyone"/>
      <w:permEnd w:id="0"/>
    </w:p>
    <w:p w:rsidR="00345DBC" w:rsidRPr="00345DBC" w:rsidRDefault="00345DBC" w:rsidP="00345DBC">
      <w:pPr>
        <w:shd w:val="clear" w:color="auto" w:fill="FFFFFF"/>
        <w:spacing w:after="0" w:line="240" w:lineRule="auto"/>
        <w:outlineLvl w:val="0"/>
        <w:rPr>
          <w:rFonts w:ascii="Arial" w:eastAsia="Times New Roman" w:hAnsi="Arial" w:cs="Arial"/>
          <w:b/>
          <w:bCs/>
          <w:noProof/>
          <w:color w:val="444444"/>
          <w:kern w:val="36"/>
          <w:sz w:val="41"/>
          <w:szCs w:val="41"/>
        </w:rPr>
      </w:pPr>
    </w:p>
    <w:p w:rsidR="00CE026C" w:rsidRPr="00345DBC" w:rsidRDefault="00CE026C">
      <w:pPr>
        <w:rPr>
          <w:noProof/>
        </w:rPr>
      </w:pPr>
    </w:p>
    <w:sectPr w:rsidR="00CE026C" w:rsidRPr="00345DBC" w:rsidSect="00AD525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RiEwC214Xd1vkyunvM97/EsDLc=" w:salt="OyKk9+zf+pelT5QF2JSEkg=="/>
  <w:defaultTabStop w:val="720"/>
  <w:characterSpacingControl w:val="doNotCompress"/>
  <w:compat>
    <w:useFELayout/>
  </w:compat>
  <w:rsids>
    <w:rsidRoot w:val="00345DBC"/>
    <w:rsid w:val="00345DBC"/>
    <w:rsid w:val="004E026A"/>
    <w:rsid w:val="00AD5257"/>
    <w:rsid w:val="00CE0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57"/>
  </w:style>
  <w:style w:type="paragraph" w:styleId="Heading1">
    <w:name w:val="heading 1"/>
    <w:basedOn w:val="Normal"/>
    <w:link w:val="Heading1Char"/>
    <w:uiPriority w:val="9"/>
    <w:qFormat/>
    <w:rsid w:val="00345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DB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4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BC"/>
    <w:rPr>
      <w:rFonts w:ascii="Tahoma" w:hAnsi="Tahoma" w:cs="Tahoma"/>
      <w:sz w:val="16"/>
      <w:szCs w:val="16"/>
    </w:rPr>
  </w:style>
  <w:style w:type="paragraph" w:styleId="NormalWeb">
    <w:name w:val="Normal (Web)"/>
    <w:basedOn w:val="Normal"/>
    <w:uiPriority w:val="99"/>
    <w:semiHidden/>
    <w:unhideWhenUsed/>
    <w:rsid w:val="0034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5DBC"/>
  </w:style>
  <w:style w:type="character" w:styleId="Emphasis">
    <w:name w:val="Emphasis"/>
    <w:basedOn w:val="DefaultParagraphFont"/>
    <w:uiPriority w:val="20"/>
    <w:qFormat/>
    <w:rsid w:val="00345DBC"/>
    <w:rPr>
      <w:i/>
      <w:iCs/>
    </w:rPr>
  </w:style>
</w:styles>
</file>

<file path=word/webSettings.xml><?xml version="1.0" encoding="utf-8"?>
<w:webSettings xmlns:r="http://schemas.openxmlformats.org/officeDocument/2006/relationships" xmlns:w="http://schemas.openxmlformats.org/wordprocessingml/2006/main">
  <w:divs>
    <w:div w:id="339742004">
      <w:bodyDiv w:val="1"/>
      <w:marLeft w:val="0"/>
      <w:marRight w:val="0"/>
      <w:marTop w:val="0"/>
      <w:marBottom w:val="0"/>
      <w:divBdr>
        <w:top w:val="none" w:sz="0" w:space="0" w:color="auto"/>
        <w:left w:val="none" w:sz="0" w:space="0" w:color="auto"/>
        <w:bottom w:val="none" w:sz="0" w:space="0" w:color="auto"/>
        <w:right w:val="none" w:sz="0" w:space="0" w:color="auto"/>
      </w:divBdr>
    </w:div>
    <w:div w:id="409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3508</Characters>
  <Application>Microsoft Office Word</Application>
  <DocSecurity>8</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2015-11-26T05:19:00Z</dcterms:created>
  <dcterms:modified xsi:type="dcterms:W3CDTF">2015-12-24T01:26:00Z</dcterms:modified>
</cp:coreProperties>
</file>